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D0" w:rsidRPr="00617F15" w:rsidRDefault="00D254D0" w:rsidP="00D254D0">
      <w:pPr>
        <w:pStyle w:val="Default"/>
        <w:ind w:left="720" w:hanging="720"/>
        <w:jc w:val="center"/>
        <w:rPr>
          <w:b/>
          <w:sz w:val="52"/>
          <w:szCs w:val="52"/>
        </w:rPr>
      </w:pPr>
      <w:r>
        <w:rPr>
          <w:b/>
          <w:sz w:val="52"/>
          <w:szCs w:val="52"/>
        </w:rPr>
        <w:t xml:space="preserve">TDC Part </w:t>
      </w:r>
      <w:r w:rsidRPr="00617F15">
        <w:rPr>
          <w:b/>
          <w:sz w:val="52"/>
          <w:szCs w:val="52"/>
        </w:rPr>
        <w:t>I</w:t>
      </w:r>
      <w:r>
        <w:rPr>
          <w:b/>
          <w:sz w:val="52"/>
          <w:szCs w:val="52"/>
        </w:rPr>
        <w:t>I</w:t>
      </w:r>
    </w:p>
    <w:p w:rsidR="00D254D0" w:rsidRDefault="00D254D0" w:rsidP="00D254D0">
      <w:pPr>
        <w:pStyle w:val="Default"/>
        <w:jc w:val="center"/>
        <w:rPr>
          <w:b/>
          <w:sz w:val="52"/>
          <w:szCs w:val="52"/>
        </w:rPr>
      </w:pPr>
      <w:r>
        <w:rPr>
          <w:b/>
          <w:sz w:val="52"/>
          <w:szCs w:val="52"/>
        </w:rPr>
        <w:t>Paper I, Group B</w:t>
      </w:r>
    </w:p>
    <w:p w:rsidR="00D254D0" w:rsidRPr="00617F15" w:rsidRDefault="00D254D0" w:rsidP="00D254D0">
      <w:pPr>
        <w:pStyle w:val="Default"/>
        <w:jc w:val="center"/>
        <w:rPr>
          <w:b/>
          <w:sz w:val="52"/>
          <w:szCs w:val="52"/>
        </w:rPr>
      </w:pPr>
      <w:r>
        <w:rPr>
          <w:b/>
          <w:sz w:val="52"/>
          <w:szCs w:val="52"/>
        </w:rPr>
        <w:t>Inorganic</w:t>
      </w:r>
      <w:r w:rsidRPr="00617F15">
        <w:rPr>
          <w:b/>
          <w:sz w:val="52"/>
          <w:szCs w:val="52"/>
        </w:rPr>
        <w:t xml:space="preserve"> Chemistry</w:t>
      </w:r>
    </w:p>
    <w:p w:rsidR="00D254D0" w:rsidRDefault="00D254D0" w:rsidP="00D254D0">
      <w:pPr>
        <w:pStyle w:val="Default"/>
        <w:rPr>
          <w:rFonts w:ascii="Arial Black" w:hAnsi="Arial Black"/>
        </w:rPr>
      </w:pPr>
    </w:p>
    <w:p w:rsidR="00D254D0" w:rsidRDefault="00D254D0" w:rsidP="00D254D0">
      <w:pPr>
        <w:pStyle w:val="Default"/>
        <w:jc w:val="center"/>
        <w:rPr>
          <w:rFonts w:ascii="Arial Black" w:hAnsi="Arial Black"/>
        </w:rPr>
      </w:pP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D254D0" w:rsidRDefault="00D254D0" w:rsidP="00D254D0">
      <w:pPr>
        <w:pStyle w:val="Default"/>
        <w:rPr>
          <w:rFonts w:ascii="Arial Black" w:hAnsi="Arial Black"/>
        </w:rPr>
      </w:pPr>
    </w:p>
    <w:p w:rsidR="00D254D0" w:rsidRPr="00617F15" w:rsidRDefault="00D254D0" w:rsidP="00D254D0">
      <w:pPr>
        <w:pStyle w:val="Default"/>
        <w:spacing w:after="120"/>
        <w:jc w:val="center"/>
        <w:rPr>
          <w:sz w:val="52"/>
          <w:szCs w:val="52"/>
        </w:rPr>
      </w:pPr>
      <w:r w:rsidRPr="00617F15">
        <w:rPr>
          <w:b/>
          <w:bCs/>
          <w:sz w:val="52"/>
          <w:szCs w:val="52"/>
        </w:rPr>
        <w:t>Department of Chemistry</w:t>
      </w:r>
    </w:p>
    <w:p w:rsidR="00D254D0" w:rsidRPr="00157F46" w:rsidRDefault="00D254D0" w:rsidP="00D254D0">
      <w:pPr>
        <w:pStyle w:val="Default"/>
        <w:rPr>
          <w:rFonts w:ascii="Arial Black" w:hAnsi="Arial Black"/>
        </w:rPr>
      </w:pPr>
    </w:p>
    <w:p w:rsidR="00D254D0" w:rsidRPr="00617F15" w:rsidRDefault="00D254D0" w:rsidP="00D254D0">
      <w:pPr>
        <w:pStyle w:val="Default"/>
        <w:spacing w:after="120"/>
        <w:jc w:val="center"/>
        <w:rPr>
          <w:b/>
          <w:bCs/>
          <w:sz w:val="52"/>
          <w:szCs w:val="52"/>
        </w:rPr>
      </w:pPr>
      <w:r w:rsidRPr="00617F15">
        <w:rPr>
          <w:b/>
          <w:bCs/>
          <w:sz w:val="52"/>
          <w:szCs w:val="52"/>
        </w:rPr>
        <w:t>L.S COLLEGE MUZAFFARPUR</w:t>
      </w:r>
    </w:p>
    <w:p w:rsidR="00D254D0" w:rsidRPr="00617F15" w:rsidRDefault="00D254D0" w:rsidP="00D254D0">
      <w:pPr>
        <w:pStyle w:val="Default"/>
        <w:spacing w:after="120"/>
        <w:jc w:val="center"/>
        <w:rPr>
          <w:b/>
          <w:bCs/>
          <w:sz w:val="52"/>
          <w:szCs w:val="52"/>
        </w:rPr>
      </w:pPr>
      <w:r w:rsidRPr="00617F15">
        <w:rPr>
          <w:b/>
          <w:bCs/>
          <w:sz w:val="52"/>
          <w:szCs w:val="52"/>
        </w:rPr>
        <w:t>B. R. A. BIHAR UNIVERSITY</w:t>
      </w:r>
    </w:p>
    <w:p w:rsidR="00D254D0" w:rsidRPr="00617F15" w:rsidRDefault="00D254D0" w:rsidP="00D254D0">
      <w:pPr>
        <w:pStyle w:val="Default"/>
        <w:spacing w:after="120"/>
        <w:jc w:val="center"/>
        <w:rPr>
          <w:sz w:val="52"/>
          <w:szCs w:val="52"/>
        </w:rPr>
      </w:pPr>
      <w:r w:rsidRPr="00617F15">
        <w:rPr>
          <w:b/>
          <w:bCs/>
          <w:sz w:val="52"/>
          <w:szCs w:val="52"/>
        </w:rPr>
        <w:t>Dr. Priyanka</w:t>
      </w:r>
    </w:p>
    <w:p w:rsidR="00D254D0" w:rsidRPr="00D254D0" w:rsidRDefault="00D254D0" w:rsidP="00D254D0">
      <w:pPr>
        <w:pStyle w:val="Heading1"/>
        <w:numPr>
          <w:ilvl w:val="1"/>
          <w:numId w:val="6"/>
        </w:numPr>
        <w:tabs>
          <w:tab w:val="left" w:pos="913"/>
        </w:tabs>
        <w:spacing w:after="23" w:line="276" w:lineRule="auto"/>
        <w:ind w:left="423" w:right="730" w:firstLine="0"/>
        <w:jc w:val="both"/>
        <w:rPr>
          <w:i w:val="0"/>
          <w:sz w:val="36"/>
          <w:szCs w:val="36"/>
        </w:rPr>
      </w:pPr>
      <w:r w:rsidRPr="00617F15">
        <w:rPr>
          <w:sz w:val="52"/>
          <w:szCs w:val="52"/>
        </w:rPr>
        <w:t>TOPIC:-</w:t>
      </w:r>
      <w:r>
        <w:rPr>
          <w:sz w:val="52"/>
          <w:szCs w:val="52"/>
        </w:rPr>
        <w:t>UNIT -3,</w:t>
      </w:r>
      <w:r w:rsidRPr="00D254D0">
        <w:rPr>
          <w:i w:val="0"/>
          <w:sz w:val="36"/>
          <w:szCs w:val="36"/>
        </w:rPr>
        <w:t xml:space="preserve"> SPECTRAL PROPERTIES AND STEREOCHEMISTRY OF THE ELEMENTS OF THE SECOND TRANSITION SERIES</w:t>
      </w:r>
    </w:p>
    <w:p w:rsidR="005C1E51" w:rsidRDefault="005C1E51" w:rsidP="00D254D0">
      <w:pPr>
        <w:spacing w:before="13" w:after="21" w:line="276" w:lineRule="auto"/>
        <w:ind w:left="423" w:right="1236"/>
        <w:rPr>
          <w:b/>
          <w:sz w:val="34"/>
        </w:rPr>
      </w:pPr>
    </w:p>
    <w:p w:rsidR="005C1E51" w:rsidRDefault="005C1E51">
      <w:pPr>
        <w:spacing w:before="13" w:after="21" w:line="276" w:lineRule="auto"/>
        <w:ind w:left="423" w:right="1236"/>
        <w:rPr>
          <w:b/>
          <w:sz w:val="34"/>
        </w:rPr>
      </w:pPr>
    </w:p>
    <w:p w:rsidR="005C1E51" w:rsidRDefault="005C1E51">
      <w:pPr>
        <w:spacing w:before="13" w:after="21" w:line="276" w:lineRule="auto"/>
        <w:ind w:left="423" w:right="1236"/>
        <w:rPr>
          <w:b/>
          <w:sz w:val="34"/>
        </w:rPr>
      </w:pPr>
    </w:p>
    <w:p w:rsidR="005C1E51" w:rsidRDefault="005C1E51">
      <w:pPr>
        <w:spacing w:before="13" w:after="21" w:line="276" w:lineRule="auto"/>
        <w:ind w:left="423" w:right="1236"/>
        <w:rPr>
          <w:b/>
          <w:sz w:val="34"/>
        </w:rPr>
      </w:pPr>
    </w:p>
    <w:p w:rsidR="005C1E51" w:rsidRDefault="005C1E51">
      <w:pPr>
        <w:spacing w:before="13" w:after="21" w:line="276" w:lineRule="auto"/>
        <w:ind w:left="423" w:right="1236"/>
        <w:rPr>
          <w:b/>
          <w:sz w:val="34"/>
        </w:rPr>
      </w:pPr>
    </w:p>
    <w:p w:rsidR="00D2338F" w:rsidRPr="00D254D0" w:rsidRDefault="000C6B92">
      <w:pPr>
        <w:pStyle w:val="Heading1"/>
        <w:numPr>
          <w:ilvl w:val="1"/>
          <w:numId w:val="6"/>
        </w:numPr>
        <w:tabs>
          <w:tab w:val="left" w:pos="913"/>
        </w:tabs>
        <w:spacing w:after="23" w:line="276" w:lineRule="auto"/>
        <w:ind w:left="423" w:right="730" w:firstLine="0"/>
        <w:jc w:val="both"/>
        <w:rPr>
          <w:i w:val="0"/>
          <w:sz w:val="36"/>
          <w:szCs w:val="36"/>
        </w:rPr>
      </w:pPr>
      <w:r w:rsidRPr="00D254D0">
        <w:rPr>
          <w:i w:val="0"/>
          <w:sz w:val="36"/>
          <w:szCs w:val="36"/>
        </w:rPr>
        <w:lastRenderedPageBreak/>
        <w:t>SPECTRAL PROPERTIES AND STEREOCHEMISTRY OF THE ELEMENTS OF THE SECOND TRANSITION SERIES</w:t>
      </w:r>
    </w:p>
    <w:p w:rsidR="00D2338F" w:rsidRDefault="00E32BB5">
      <w:pPr>
        <w:pStyle w:val="BodyText"/>
        <w:spacing w:line="20" w:lineRule="exact"/>
        <w:ind w:left="391"/>
        <w:rPr>
          <w:sz w:val="2"/>
        </w:rPr>
      </w:pPr>
      <w:r>
        <w:rPr>
          <w:sz w:val="2"/>
        </w:rPr>
      </w:r>
      <w:r>
        <w:rPr>
          <w:sz w:val="2"/>
        </w:rPr>
        <w:pict>
          <v:group id="_x0000_s1038" style="width:391.1pt;height:.5pt;mso-position-horizontal-relative:char;mso-position-vertical-relative:line" coordsize="7822,10">
            <v:line id="_x0000_s1039" style="position:absolute" from="0,5" to="7822,5" strokeweight=".48pt"/>
            <w10:wrap type="none"/>
            <w10:anchorlock/>
          </v:group>
        </w:pict>
      </w:r>
    </w:p>
    <w:p w:rsidR="00D2338F" w:rsidRDefault="00D2338F">
      <w:pPr>
        <w:pStyle w:val="BodyText"/>
        <w:rPr>
          <w:b/>
          <w:i/>
          <w:sz w:val="10"/>
        </w:rPr>
      </w:pPr>
    </w:p>
    <w:p w:rsidR="00D2338F" w:rsidRDefault="000C6B92">
      <w:pPr>
        <w:pStyle w:val="BodyText"/>
        <w:spacing w:before="96" w:line="369" w:lineRule="auto"/>
        <w:ind w:left="423" w:right="725" w:firstLine="676"/>
        <w:jc w:val="both"/>
      </w:pPr>
      <w:r>
        <w:t>We know that the electromagnetic radiations of white light such as sunlight consist of a continuous spectrum of  wavelengths corresponding to  different colours.   If such a light falls on a compound, the light-matter interaction results in  the  absorption of either all the radiations giving black colour to the compound, or that of one radiation of a particular colour. In the latter case, the light of different colour is transmitted or reflected which is the complementary colour of the absorbed</w:t>
      </w:r>
      <w:r>
        <w:rPr>
          <w:spacing w:val="49"/>
        </w:rPr>
        <w:t xml:space="preserve"> </w:t>
      </w:r>
      <w:r>
        <w:t>colour</w:t>
      </w:r>
    </w:p>
    <w:p w:rsidR="00D2338F" w:rsidRDefault="000C6B92">
      <w:pPr>
        <w:pStyle w:val="BodyText"/>
        <w:spacing w:before="96" w:line="369" w:lineRule="auto"/>
        <w:ind w:left="423" w:right="1236"/>
      </w:pPr>
      <w:r>
        <w:t>and is the colour of the compound. If the compound does not absorb in the visible region, it appears white.</w:t>
      </w:r>
    </w:p>
    <w:p w:rsidR="00D2338F" w:rsidRDefault="00D2338F">
      <w:pPr>
        <w:pStyle w:val="BodyText"/>
        <w:spacing w:before="6"/>
        <w:rPr>
          <w:sz w:val="19"/>
        </w:rPr>
      </w:pPr>
    </w:p>
    <w:p w:rsidR="00D2338F" w:rsidRDefault="000C6B92">
      <w:pPr>
        <w:pStyle w:val="BodyText"/>
        <w:spacing w:line="369" w:lineRule="auto"/>
        <w:ind w:left="423" w:right="725" w:firstLine="676"/>
        <w:jc w:val="both"/>
      </w:pPr>
      <w:r>
        <w:t>The transition metal ions / compounds / complexes show a variety of colours depending on the nature of metals and ligands. The  colour of a  compound arises due  to the transition of electron(s) from ground state (lowest energy) to the excited state (higher energy). When a photon  having energy equal  to the difference between the  two states, i.e., ground and excited state, strikes the compound or the ion, electronic transition (here promotion) takes place. In the complexes of the transition metals, this transition occurs from t</w:t>
      </w:r>
      <w:r>
        <w:rPr>
          <w:vertAlign w:val="subscript"/>
        </w:rPr>
        <w:t>2</w:t>
      </w:r>
      <w:r>
        <w:t>g to e</w:t>
      </w:r>
      <w:r>
        <w:rPr>
          <w:vertAlign w:val="subscript"/>
        </w:rPr>
        <w:t>g</w:t>
      </w:r>
      <w:r>
        <w:t xml:space="preserve"> level in octahedral field and from e to t</w:t>
      </w:r>
      <w:r>
        <w:rPr>
          <w:vertAlign w:val="subscript"/>
        </w:rPr>
        <w:t>2</w:t>
      </w:r>
      <w:r>
        <w:t xml:space="preserve"> level in tetrahedral ligand environment. The energy difference between  the  two  states involved</w:t>
      </w:r>
      <w:r>
        <w:rPr>
          <w:spacing w:val="10"/>
        </w:rPr>
        <w:t xml:space="preserve"> </w:t>
      </w:r>
      <w:r>
        <w:t>in</w:t>
      </w:r>
      <w:r>
        <w:rPr>
          <w:spacing w:val="5"/>
        </w:rPr>
        <w:t xml:space="preserve"> </w:t>
      </w:r>
      <w:r>
        <w:t>electronic</w:t>
      </w:r>
      <w:r>
        <w:rPr>
          <w:spacing w:val="11"/>
        </w:rPr>
        <w:t xml:space="preserve"> </w:t>
      </w:r>
      <w:r>
        <w:t>transition</w:t>
      </w:r>
      <w:r>
        <w:rPr>
          <w:spacing w:val="10"/>
        </w:rPr>
        <w:t xml:space="preserve"> </w:t>
      </w:r>
      <w:r>
        <w:t>is</w:t>
      </w:r>
      <w:r>
        <w:rPr>
          <w:spacing w:val="9"/>
        </w:rPr>
        <w:t xml:space="preserve"> </w:t>
      </w:r>
      <w:r>
        <w:t>given</w:t>
      </w:r>
      <w:r>
        <w:rPr>
          <w:spacing w:val="10"/>
        </w:rPr>
        <w:t xml:space="preserve"> </w:t>
      </w:r>
      <w:r>
        <w:t>by</w:t>
      </w:r>
      <w:r>
        <w:rPr>
          <w:spacing w:val="10"/>
        </w:rPr>
        <w:t xml:space="preserve"> </w:t>
      </w:r>
      <w:r>
        <w:t>(as</w:t>
      </w:r>
      <w:r>
        <w:rPr>
          <w:spacing w:val="9"/>
        </w:rPr>
        <w:t xml:space="preserve"> </w:t>
      </w:r>
      <w:r>
        <w:t>given</w:t>
      </w:r>
      <w:r>
        <w:rPr>
          <w:spacing w:val="13"/>
        </w:rPr>
        <w:t xml:space="preserve"> </w:t>
      </w:r>
      <w:r>
        <w:t>in</w:t>
      </w:r>
      <w:r>
        <w:rPr>
          <w:spacing w:val="8"/>
        </w:rPr>
        <w:t xml:space="preserve"> </w:t>
      </w:r>
      <w:r>
        <w:t>the</w:t>
      </w:r>
      <w:r>
        <w:rPr>
          <w:spacing w:val="11"/>
        </w:rPr>
        <w:t xml:space="preserve"> </w:t>
      </w:r>
      <w:r>
        <w:t>figure</w:t>
      </w:r>
      <w:r>
        <w:rPr>
          <w:spacing w:val="14"/>
        </w:rPr>
        <w:t xml:space="preserve"> </w:t>
      </w:r>
      <w:r>
        <w:t>2.1)</w:t>
      </w:r>
      <w:r>
        <w:rPr>
          <w:spacing w:val="10"/>
        </w:rPr>
        <w:t xml:space="preserve"> </w:t>
      </w:r>
      <w:r>
        <w:t>the</w:t>
      </w:r>
      <w:r>
        <w:rPr>
          <w:spacing w:val="9"/>
        </w:rPr>
        <w:t xml:space="preserve"> </w:t>
      </w:r>
      <w:r>
        <w:t>following:</w:t>
      </w:r>
    </w:p>
    <w:p w:rsidR="00D2338F" w:rsidRDefault="00D2338F">
      <w:pPr>
        <w:pStyle w:val="BodyText"/>
        <w:spacing w:before="11"/>
        <w:rPr>
          <w:sz w:val="8"/>
        </w:rPr>
      </w:pPr>
    </w:p>
    <w:p w:rsidR="00D2338F" w:rsidRDefault="000C6B92">
      <w:pPr>
        <w:tabs>
          <w:tab w:val="right" w:pos="3761"/>
        </w:tabs>
        <w:spacing w:before="83" w:line="106" w:lineRule="exact"/>
        <w:ind w:left="2371"/>
        <w:rPr>
          <w:rFonts w:ascii="Lucida Sans Unicode"/>
          <w:sz w:val="16"/>
        </w:rPr>
      </w:pPr>
      <w:r>
        <w:rPr>
          <w:rFonts w:ascii="Lucida Sans Unicode"/>
          <w:sz w:val="16"/>
        </w:rPr>
        <w:t>hc</w:t>
      </w:r>
      <w:r>
        <w:rPr>
          <w:rFonts w:ascii="Lucida Sans Unicode"/>
          <w:sz w:val="16"/>
        </w:rPr>
        <w:tab/>
        <w:t>1</w:t>
      </w:r>
    </w:p>
    <w:p w:rsidR="00D2338F" w:rsidRDefault="00E32BB5">
      <w:pPr>
        <w:spacing w:line="199" w:lineRule="auto"/>
        <w:ind w:left="423"/>
      </w:pPr>
      <w:r>
        <w:pict>
          <v:line id="_x0000_s1037" style="position:absolute;left:0;text-align:left;z-index:-253727744;mso-position-horizontal-relative:page" from="204.6pt,7.55pt" to="213.85pt,7.55pt" strokeweight=".84pt">
            <w10:wrap anchorx="page"/>
          </v:line>
        </w:pict>
      </w:r>
      <w:r>
        <w:pict>
          <v:rect id="_x0000_s1036" style="position:absolute;left:0;text-align:left;margin-left:269.4pt;margin-top:7.1pt;width:4.7pt;height:.85pt;z-index:-253726720;mso-position-horizontal-relative:page" fillcolor="black" stroked="f">
            <w10:wrap anchorx="page"/>
          </v:rect>
        </w:pict>
      </w:r>
      <w:r w:rsidR="000C6B92">
        <w:rPr>
          <w:rFonts w:ascii="Calibri" w:hAnsi="Calibri"/>
        </w:rPr>
        <w:t>∆</w:t>
      </w:r>
      <w:r w:rsidR="000C6B92">
        <w:t>E = E</w:t>
      </w:r>
      <w:r w:rsidR="000C6B92">
        <w:rPr>
          <w:vertAlign w:val="subscript"/>
        </w:rPr>
        <w:t>2</w:t>
      </w:r>
      <w:r w:rsidR="000C6B92">
        <w:t xml:space="preserve"> - E</w:t>
      </w:r>
      <w:r w:rsidR="000C6B92">
        <w:rPr>
          <w:vertAlign w:val="subscript"/>
        </w:rPr>
        <w:t>1</w:t>
      </w:r>
      <w:r w:rsidR="000C6B92">
        <w:t xml:space="preserve"> = </w:t>
      </w:r>
      <w:r w:rsidR="000C6B92">
        <w:rPr>
          <w:rFonts w:ascii="Cambria Math" w:hAnsi="Cambria Math"/>
        </w:rPr>
        <w:t>ℎ</w:t>
      </w:r>
      <w:r w:rsidR="000C6B92">
        <w:rPr>
          <w:rFonts w:ascii="Lucida Sans Unicode" w:hAnsi="Lucida Sans Unicode"/>
        </w:rPr>
        <w:t xml:space="preserve">v </w:t>
      </w:r>
      <w:r w:rsidR="000C6B92">
        <w:rPr>
          <w:rFonts w:ascii="Cambria Math" w:hAnsi="Cambria Math"/>
        </w:rPr>
        <w:t xml:space="preserve">= </w:t>
      </w:r>
      <w:r w:rsidR="000C6B92">
        <w:rPr>
          <w:rFonts w:ascii="Lucida Sans Unicode" w:hAnsi="Lucida Sans Unicode"/>
          <w:position w:val="-10"/>
          <w:sz w:val="16"/>
        </w:rPr>
        <w:t xml:space="preserve">fi </w:t>
      </w:r>
      <w:r w:rsidR="000C6B92">
        <w:t>= h</w:t>
      </w:r>
      <w:r w:rsidR="000C6B92">
        <w:rPr>
          <w:i/>
        </w:rPr>
        <w:t xml:space="preserve">v </w:t>
      </w:r>
      <w:r w:rsidR="000C6B92">
        <w:t>(</w:t>
      </w:r>
      <w:r w:rsidR="000C6B92">
        <w:rPr>
          <w:rFonts w:ascii="Cambria Math" w:hAnsi="Cambria Math"/>
        </w:rPr>
        <w:t xml:space="preserve">∴ </w:t>
      </w:r>
      <w:r w:rsidR="000C6B92">
        <w:rPr>
          <w:i/>
        </w:rPr>
        <w:t xml:space="preserve">v </w:t>
      </w:r>
      <w:r w:rsidR="000C6B92">
        <w:t>=</w:t>
      </w:r>
      <w:r w:rsidR="000C6B92">
        <w:rPr>
          <w:rFonts w:ascii="Lucida Sans Unicode" w:hAnsi="Lucida Sans Unicode"/>
          <w:position w:val="-10"/>
          <w:sz w:val="16"/>
        </w:rPr>
        <w:t>fi</w:t>
      </w:r>
      <w:r w:rsidR="000C6B92">
        <w:t>)</w:t>
      </w:r>
    </w:p>
    <w:p w:rsidR="00D2338F" w:rsidRDefault="00D2338F">
      <w:pPr>
        <w:pStyle w:val="BodyText"/>
        <w:spacing w:before="7"/>
        <w:rPr>
          <w:sz w:val="26"/>
        </w:rPr>
      </w:pPr>
    </w:p>
    <w:p w:rsidR="00D2338F" w:rsidRDefault="000C6B92">
      <w:pPr>
        <w:pStyle w:val="BodyText"/>
        <w:spacing w:line="350" w:lineRule="auto"/>
        <w:ind w:left="423" w:right="750"/>
        <w:rPr>
          <w:b/>
        </w:rPr>
      </w:pPr>
      <w:r>
        <w:rPr>
          <w:w w:val="105"/>
        </w:rPr>
        <w:t xml:space="preserve">Where </w:t>
      </w:r>
      <w:r>
        <w:rPr>
          <w:rFonts w:ascii="Calibri" w:hAnsi="Calibri"/>
          <w:w w:val="105"/>
        </w:rPr>
        <w:t>∆</w:t>
      </w:r>
      <w:r>
        <w:rPr>
          <w:w w:val="105"/>
        </w:rPr>
        <w:t xml:space="preserve">E = energy, h = Planck’s constant, c = velocity of light, </w:t>
      </w:r>
      <w:r>
        <w:rPr>
          <w:rFonts w:ascii="Calibri" w:hAnsi="Calibri"/>
          <w:w w:val="105"/>
        </w:rPr>
        <w:t xml:space="preserve">λ </w:t>
      </w:r>
      <w:r>
        <w:rPr>
          <w:w w:val="105"/>
        </w:rPr>
        <w:t xml:space="preserve">= wavelength of light absorbed, </w:t>
      </w:r>
      <w:r>
        <w:rPr>
          <w:i/>
          <w:w w:val="105"/>
        </w:rPr>
        <w:t xml:space="preserve">v </w:t>
      </w:r>
      <w:r>
        <w:rPr>
          <w:w w:val="105"/>
        </w:rPr>
        <w:t xml:space="preserve">= frequency of light absorbed and </w:t>
      </w:r>
      <w:r>
        <w:rPr>
          <w:i/>
          <w:w w:val="105"/>
        </w:rPr>
        <w:t xml:space="preserve">v </w:t>
      </w:r>
      <w:r>
        <w:rPr>
          <w:w w:val="105"/>
        </w:rPr>
        <w:t xml:space="preserve">= wave number. </w:t>
      </w:r>
    </w:p>
    <w:p w:rsidR="00D2338F" w:rsidRDefault="000C6B92">
      <w:pPr>
        <w:pStyle w:val="BodyText"/>
        <w:spacing w:before="4"/>
        <w:rPr>
          <w:b/>
          <w:sz w:val="18"/>
        </w:rPr>
      </w:pPr>
      <w:r>
        <w:rPr>
          <w:noProof/>
          <w:lang w:bidi="ar-SA"/>
        </w:rPr>
        <w:drawing>
          <wp:anchor distT="0" distB="0" distL="0" distR="0" simplePos="0" relativeHeight="13" behindDoc="0" locked="0" layoutInCell="1" allowOverlap="1">
            <wp:simplePos x="0" y="0"/>
            <wp:positionH relativeFrom="page">
              <wp:posOffset>1379219</wp:posOffset>
            </wp:positionH>
            <wp:positionV relativeFrom="paragraph">
              <wp:posOffset>158920</wp:posOffset>
            </wp:positionV>
            <wp:extent cx="4275894" cy="159543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275894" cy="1595437"/>
                    </a:xfrm>
                    <a:prstGeom prst="rect">
                      <a:avLst/>
                    </a:prstGeom>
                  </pic:spPr>
                </pic:pic>
              </a:graphicData>
            </a:graphic>
          </wp:anchor>
        </w:drawing>
      </w:r>
    </w:p>
    <w:p w:rsidR="00D2338F" w:rsidRDefault="00D2338F">
      <w:pPr>
        <w:pStyle w:val="BodyText"/>
        <w:spacing w:before="5"/>
        <w:rPr>
          <w:b/>
          <w:sz w:val="27"/>
        </w:rPr>
      </w:pPr>
    </w:p>
    <w:p w:rsidR="00D2338F" w:rsidRDefault="000C6B92">
      <w:pPr>
        <w:pStyle w:val="BodyText"/>
        <w:ind w:left="3948" w:right="4253"/>
        <w:jc w:val="center"/>
      </w:pPr>
      <w:r>
        <w:t>Fig. 2.1</w:t>
      </w:r>
    </w:p>
    <w:p w:rsidR="00D2338F" w:rsidRDefault="00D2338F">
      <w:pPr>
        <w:pStyle w:val="BodyText"/>
        <w:spacing w:before="4"/>
        <w:rPr>
          <w:sz w:val="31"/>
        </w:rPr>
      </w:pPr>
    </w:p>
    <w:p w:rsidR="00D2338F" w:rsidRDefault="000C6B92">
      <w:pPr>
        <w:pStyle w:val="BodyText"/>
        <w:spacing w:before="1" w:line="360" w:lineRule="auto"/>
        <w:ind w:left="423" w:right="725" w:firstLine="676"/>
        <w:jc w:val="both"/>
      </w:pPr>
      <w:r>
        <w:t xml:space="preserve">The colour of the compound / complex exhibited due to the above transition is called the colour due to d-d transition. The examples of  compounds  /  complexes which are coloured due to d-d transitions are provided by first transition (3d) series elements and a few heavier elements. Greater is </w:t>
      </w:r>
      <w:r>
        <w:rPr>
          <w:rFonts w:ascii="Calibri" w:hAnsi="Calibri"/>
        </w:rPr>
        <w:t>∆</w:t>
      </w:r>
      <w:r>
        <w:t xml:space="preserve">, more energy is  required to cause  the d-d transition. For 4d-series elements, increasing </w:t>
      </w:r>
      <w:r>
        <w:rPr>
          <w:rFonts w:ascii="Calibri" w:hAnsi="Calibri"/>
        </w:rPr>
        <w:t xml:space="preserve">∆ </w:t>
      </w:r>
      <w:r>
        <w:t>value in octahedral field  is: Mo</w:t>
      </w:r>
      <w:r>
        <w:rPr>
          <w:vertAlign w:val="superscript"/>
        </w:rPr>
        <w:t>3+</w:t>
      </w:r>
      <w:r>
        <w:t xml:space="preserve"> &lt; Rh</w:t>
      </w:r>
      <w:r>
        <w:rPr>
          <w:vertAlign w:val="superscript"/>
        </w:rPr>
        <w:t>3+</w:t>
      </w:r>
      <w:r>
        <w:t xml:space="preserve"> &lt; Ru</w:t>
      </w:r>
      <w:r>
        <w:rPr>
          <w:vertAlign w:val="superscript"/>
        </w:rPr>
        <w:t>3+</w:t>
      </w:r>
      <w:r>
        <w:t xml:space="preserve"> &lt; Pd</w:t>
      </w:r>
      <w:r>
        <w:rPr>
          <w:vertAlign w:val="superscript"/>
        </w:rPr>
        <w:t>4+</w:t>
      </w:r>
      <w:r>
        <w:rPr>
          <w:spacing w:val="-11"/>
        </w:rPr>
        <w:t xml:space="preserve"> </w:t>
      </w:r>
      <w:r>
        <w:t>etc.</w:t>
      </w:r>
    </w:p>
    <w:p w:rsidR="00D2338F" w:rsidRDefault="00D2338F">
      <w:pPr>
        <w:spacing w:line="360" w:lineRule="auto"/>
        <w:jc w:val="both"/>
      </w:pPr>
    </w:p>
    <w:p w:rsidR="00D2338F" w:rsidRDefault="000C6B92">
      <w:pPr>
        <w:pStyle w:val="BodyText"/>
        <w:spacing w:before="96" w:line="367" w:lineRule="auto"/>
        <w:ind w:left="423" w:right="725" w:firstLine="676"/>
        <w:jc w:val="both"/>
      </w:pPr>
      <w:r>
        <w:t xml:space="preserve">The other types of electronic transitions which are responsible for the  colours of the ions / compounds / complexes, particularly, of second transition (4d) series elements are the charge transfer processes (C.T.) from metal to ligand or ligand to metal. The electronic spectra of the complexes / compounds of second and third transition series elements are less important than those of the complexes of first transition series elments because in the former case the d-d and C.T. bands can not be separated but this is possible in the latter case. In the compounds / complexes of  heavier elements of 4d series because of the larger magnitude of </w:t>
      </w:r>
      <w:r>
        <w:rPr>
          <w:rFonts w:ascii="Calibri" w:hAnsi="Calibri"/>
        </w:rPr>
        <w:t xml:space="preserve">∆ </w:t>
      </w:r>
      <w:r>
        <w:t>(Crystal field splitting energy), the d-d bands are found at lower wave  lengths and hence overlap  with the C.T. bands. The charge transfer process is similar to the  internal  redox process because electron transfer takes place during this process from metal to ligand  or ligand to metal within a complex/compound. In heavier transition metal complexes the latter is generally observed. Thus, it is possible to classify and rank the metal ions according to their oxidising power Rh</w:t>
      </w:r>
      <w:r>
        <w:rPr>
          <w:vertAlign w:val="superscript"/>
        </w:rPr>
        <w:t>4+</w:t>
      </w:r>
      <w:r>
        <w:t xml:space="preserve"> &gt; Ru</w:t>
      </w:r>
      <w:r>
        <w:rPr>
          <w:vertAlign w:val="superscript"/>
        </w:rPr>
        <w:t>4+</w:t>
      </w:r>
      <w:r>
        <w:t xml:space="preserve"> &gt; Ru</w:t>
      </w:r>
      <w:r>
        <w:rPr>
          <w:vertAlign w:val="superscript"/>
        </w:rPr>
        <w:t>3+</w:t>
      </w:r>
      <w:r>
        <w:t xml:space="preserve"> &gt; Pd</w:t>
      </w:r>
      <w:r>
        <w:rPr>
          <w:vertAlign w:val="superscript"/>
        </w:rPr>
        <w:t>2+</w:t>
      </w:r>
      <w:r>
        <w:t xml:space="preserve"> &gt; Rh</w:t>
      </w:r>
      <w:r>
        <w:rPr>
          <w:vertAlign w:val="superscript"/>
        </w:rPr>
        <w:t>3+</w:t>
      </w:r>
      <w:r>
        <w:t>, etc. Greater the oxidising power of the metal ion and also greater the reducing power of the ligands, lower the energy at which the C.T. bands</w:t>
      </w:r>
      <w:r>
        <w:rPr>
          <w:spacing w:val="23"/>
        </w:rPr>
        <w:t xml:space="preserve"> </w:t>
      </w:r>
      <w:r>
        <w:t>appear.</w:t>
      </w:r>
    </w:p>
    <w:p w:rsidR="00D2338F" w:rsidRDefault="00D2338F">
      <w:pPr>
        <w:pStyle w:val="BodyText"/>
        <w:spacing w:before="4"/>
        <w:rPr>
          <w:sz w:val="20"/>
        </w:rPr>
      </w:pPr>
    </w:p>
    <w:p w:rsidR="00D2338F" w:rsidRDefault="000C6B92">
      <w:pPr>
        <w:pStyle w:val="BodyText"/>
        <w:spacing w:before="1" w:line="364" w:lineRule="auto"/>
        <w:ind w:left="423" w:right="726" w:firstLine="676"/>
        <w:jc w:val="both"/>
      </w:pPr>
      <w:r>
        <w:t xml:space="preserve">Charge transfer transitions are Laporte and spin allowed,  unlike  d-d  transitions, i.e., </w:t>
      </w:r>
      <w:r>
        <w:rPr>
          <w:rFonts w:ascii="Calibri" w:hAnsi="Calibri"/>
        </w:rPr>
        <w:t>∆</w:t>
      </w:r>
      <w:r>
        <w:t xml:space="preserve">l = ±1 and </w:t>
      </w:r>
      <w:r>
        <w:rPr>
          <w:rFonts w:ascii="Calibri" w:hAnsi="Calibri"/>
        </w:rPr>
        <w:t xml:space="preserve">∆ </w:t>
      </w:r>
      <w:r>
        <w:t xml:space="preserve">s = 0 because in these transitions, there occurs  a transition of electron(s) between the orbitals of different atoms, </w:t>
      </w:r>
      <w:r>
        <w:rPr>
          <w:i/>
        </w:rPr>
        <w:t xml:space="preserve">viz., </w:t>
      </w:r>
      <w:r>
        <w:t>metal and ligand. These give rise to more intense or strong absorptions. When these transitions occur in visible region, the compound / complex shows intense</w:t>
      </w:r>
      <w:r>
        <w:rPr>
          <w:spacing w:val="34"/>
        </w:rPr>
        <w:t xml:space="preserve"> </w:t>
      </w:r>
      <w:r>
        <w:t>colour.</w:t>
      </w:r>
    </w:p>
    <w:p w:rsidR="00D254D0" w:rsidRDefault="00D254D0">
      <w:pPr>
        <w:pStyle w:val="BodyText"/>
        <w:spacing w:before="1" w:line="364" w:lineRule="auto"/>
        <w:ind w:left="423" w:right="726" w:firstLine="676"/>
        <w:jc w:val="both"/>
      </w:pPr>
    </w:p>
    <w:p w:rsidR="00D254D0" w:rsidRDefault="00D254D0">
      <w:pPr>
        <w:pStyle w:val="BodyText"/>
        <w:spacing w:before="1" w:line="364" w:lineRule="auto"/>
        <w:ind w:left="423" w:right="726" w:firstLine="676"/>
        <w:jc w:val="both"/>
      </w:pPr>
    </w:p>
    <w:p w:rsidR="00D254D0" w:rsidRDefault="00D254D0">
      <w:pPr>
        <w:pStyle w:val="BodyText"/>
        <w:spacing w:before="1" w:line="364" w:lineRule="auto"/>
        <w:ind w:left="423" w:right="726" w:firstLine="676"/>
        <w:jc w:val="both"/>
      </w:pPr>
    </w:p>
    <w:p w:rsidR="00D2338F" w:rsidRDefault="00D2338F">
      <w:pPr>
        <w:pStyle w:val="BodyText"/>
        <w:spacing w:before="9"/>
        <w:rPr>
          <w:sz w:val="19"/>
        </w:rPr>
      </w:pPr>
    </w:p>
    <w:p w:rsidR="00D254D0" w:rsidRDefault="00D254D0">
      <w:pPr>
        <w:pStyle w:val="BodyText"/>
        <w:ind w:left="423"/>
      </w:pPr>
    </w:p>
    <w:p w:rsidR="00D2338F" w:rsidRDefault="000C6B92">
      <w:pPr>
        <w:pStyle w:val="BodyText"/>
        <w:ind w:left="423"/>
      </w:pPr>
      <w:r>
        <w:t>These transitions are of four types:</w:t>
      </w:r>
    </w:p>
    <w:p w:rsidR="00D2338F" w:rsidRDefault="00D2338F">
      <w:pPr>
        <w:pStyle w:val="BodyText"/>
        <w:spacing w:before="3"/>
        <w:rPr>
          <w:sz w:val="31"/>
        </w:rPr>
      </w:pPr>
    </w:p>
    <w:p w:rsidR="00D2338F" w:rsidRDefault="000C6B92">
      <w:pPr>
        <w:pStyle w:val="ListParagraph"/>
        <w:numPr>
          <w:ilvl w:val="0"/>
          <w:numId w:val="3"/>
        </w:numPr>
        <w:tabs>
          <w:tab w:val="left" w:pos="1438"/>
          <w:tab w:val="left" w:pos="1439"/>
        </w:tabs>
        <w:ind w:hanging="678"/>
      </w:pPr>
      <w:r>
        <w:t>Ligand to metal</w:t>
      </w:r>
      <w:r>
        <w:rPr>
          <w:spacing w:val="5"/>
        </w:rPr>
        <w:t xml:space="preserve"> </w:t>
      </w:r>
      <w:r>
        <w:t>transitions</w:t>
      </w:r>
    </w:p>
    <w:p w:rsidR="00D2338F" w:rsidRDefault="000C6B92">
      <w:pPr>
        <w:pStyle w:val="ListParagraph"/>
        <w:numPr>
          <w:ilvl w:val="0"/>
          <w:numId w:val="3"/>
        </w:numPr>
        <w:tabs>
          <w:tab w:val="left" w:pos="1438"/>
          <w:tab w:val="left" w:pos="1439"/>
        </w:tabs>
        <w:spacing w:before="136"/>
        <w:ind w:hanging="678"/>
      </w:pPr>
      <w:r>
        <w:t>Metal to ligand</w:t>
      </w:r>
      <w:r>
        <w:rPr>
          <w:spacing w:val="5"/>
        </w:rPr>
        <w:t xml:space="preserve"> </w:t>
      </w:r>
      <w:r>
        <w:t>transitions</w:t>
      </w:r>
    </w:p>
    <w:p w:rsidR="00D2338F" w:rsidRDefault="000C6B92">
      <w:pPr>
        <w:pStyle w:val="ListParagraph"/>
        <w:numPr>
          <w:ilvl w:val="0"/>
          <w:numId w:val="3"/>
        </w:numPr>
        <w:tabs>
          <w:tab w:val="left" w:pos="1438"/>
          <w:tab w:val="left" w:pos="1439"/>
        </w:tabs>
        <w:spacing w:before="138"/>
        <w:ind w:hanging="678"/>
      </w:pPr>
      <w:r>
        <w:t>Intervalence or metal to metal</w:t>
      </w:r>
      <w:r>
        <w:rPr>
          <w:spacing w:val="5"/>
        </w:rPr>
        <w:t xml:space="preserve"> </w:t>
      </w:r>
      <w:r>
        <w:t>transitions</w:t>
      </w:r>
    </w:p>
    <w:p w:rsidR="00D2338F" w:rsidRDefault="000C6B92">
      <w:pPr>
        <w:pStyle w:val="ListParagraph"/>
        <w:numPr>
          <w:ilvl w:val="0"/>
          <w:numId w:val="3"/>
        </w:numPr>
        <w:tabs>
          <w:tab w:val="left" w:pos="1438"/>
          <w:tab w:val="left" w:pos="1439"/>
        </w:tabs>
        <w:spacing w:before="133"/>
        <w:ind w:hanging="678"/>
      </w:pPr>
      <w:r>
        <w:t>Intra ligand charge</w:t>
      </w:r>
      <w:r>
        <w:rPr>
          <w:spacing w:val="11"/>
        </w:rPr>
        <w:t xml:space="preserve"> </w:t>
      </w:r>
      <w:r>
        <w:t>transfer</w:t>
      </w:r>
    </w:p>
    <w:p w:rsidR="00D2338F" w:rsidRDefault="00D2338F">
      <w:pPr>
        <w:pStyle w:val="BodyText"/>
        <w:spacing w:before="7"/>
        <w:rPr>
          <w:sz w:val="31"/>
        </w:rPr>
      </w:pPr>
    </w:p>
    <w:p w:rsidR="00D2338F" w:rsidRDefault="000C6B92">
      <w:pPr>
        <w:pStyle w:val="BodyText"/>
        <w:spacing w:before="1" w:line="369" w:lineRule="auto"/>
        <w:ind w:left="423" w:right="750"/>
      </w:pPr>
      <w:r>
        <w:t>Among the oxo ions of 4d series elements, the decreasing order of energy of ligand to metal charge transfer is as follows:</w:t>
      </w:r>
    </w:p>
    <w:p w:rsidR="00D2338F" w:rsidRDefault="00D2338F">
      <w:pPr>
        <w:pStyle w:val="BodyText"/>
        <w:spacing w:before="5"/>
        <w:rPr>
          <w:sz w:val="19"/>
        </w:rPr>
      </w:pPr>
    </w:p>
    <w:p w:rsidR="00D2338F" w:rsidRDefault="00E32BB5">
      <w:pPr>
        <w:pStyle w:val="BodyText"/>
        <w:ind w:left="423"/>
      </w:pPr>
      <w:r>
        <w:pict>
          <v:shapetype id="_x0000_t202" coordsize="21600,21600" o:spt="202" path="m,l,21600r21600,l21600,xe">
            <v:stroke joinstyle="miter"/>
            <v:path gradientshapeok="t" o:connecttype="rect"/>
          </v:shapetype>
          <v:shape id="_x0000_s1035" type="#_x0000_t202" style="position:absolute;left:0;text-align:left;margin-left:216.95pt;margin-top:5pt;width:3.8pt;height:8.4pt;z-index:-253725696;mso-position-horizontal-relative:page" filled="f" stroked="f">
            <v:textbox inset="0,0,0,0">
              <w:txbxContent>
                <w:p w:rsidR="00D2338F" w:rsidRDefault="000C6B92">
                  <w:pPr>
                    <w:spacing w:line="167" w:lineRule="exact"/>
                    <w:rPr>
                      <w:sz w:val="15"/>
                    </w:rPr>
                  </w:pPr>
                  <w:r>
                    <w:rPr>
                      <w:sz w:val="15"/>
                    </w:rPr>
                    <w:t>4</w:t>
                  </w:r>
                </w:p>
              </w:txbxContent>
            </v:textbox>
            <w10:wrap anchorx="page"/>
          </v:shape>
        </w:pict>
      </w:r>
      <w:r w:rsidR="000C6B92">
        <w:t>NbO</w:t>
      </w:r>
      <w:r w:rsidR="000C6B92">
        <w:rPr>
          <w:vertAlign w:val="subscript"/>
        </w:rPr>
        <w:t>4</w:t>
      </w:r>
      <w:r w:rsidR="000C6B92">
        <w:rPr>
          <w:vertAlign w:val="superscript"/>
        </w:rPr>
        <w:t>3-</w:t>
      </w:r>
      <w:r w:rsidR="000C6B92">
        <w:t xml:space="preserve"> &gt; MoO</w:t>
      </w:r>
      <w:r w:rsidR="000C6B92">
        <w:rPr>
          <w:vertAlign w:val="subscript"/>
        </w:rPr>
        <w:t>4</w:t>
      </w:r>
      <w:r w:rsidR="000C6B92">
        <w:rPr>
          <w:vertAlign w:val="superscript"/>
        </w:rPr>
        <w:t>2-</w:t>
      </w:r>
      <w:r w:rsidR="000C6B92">
        <w:t xml:space="preserve"> &gt; TcO </w:t>
      </w:r>
      <w:r w:rsidR="000C6B92">
        <w:rPr>
          <w:vertAlign w:val="superscript"/>
        </w:rPr>
        <w:t>-</w:t>
      </w:r>
    </w:p>
    <w:p w:rsidR="00D2338F" w:rsidRDefault="00D2338F"/>
    <w:p w:rsidR="00D2338F" w:rsidRDefault="000C6B92">
      <w:pPr>
        <w:pStyle w:val="BodyText"/>
        <w:spacing w:before="96" w:line="369" w:lineRule="auto"/>
        <w:ind w:left="423" w:right="726" w:firstLine="676"/>
        <w:jc w:val="both"/>
      </w:pPr>
      <w:r>
        <w:t>But, the energy of charge transfer increases for the similar ions of 5d-series elements. For the above ions. The energy difference between 2p-orbitals of oxide ion and 4d-orbitals of the metal ions is very large lying in UV region and hence  these    ions are</w:t>
      </w:r>
      <w:r>
        <w:rPr>
          <w:spacing w:val="2"/>
        </w:rPr>
        <w:t xml:space="preserve"> </w:t>
      </w:r>
      <w:r>
        <w:t>colourless.</w:t>
      </w:r>
    </w:p>
    <w:p w:rsidR="00D2338F" w:rsidRDefault="00D2338F">
      <w:pPr>
        <w:pStyle w:val="BodyText"/>
        <w:spacing w:before="6"/>
        <w:rPr>
          <w:sz w:val="19"/>
        </w:rPr>
      </w:pPr>
    </w:p>
    <w:p w:rsidR="00D2338F" w:rsidRDefault="000C6B92">
      <w:pPr>
        <w:pStyle w:val="BodyText"/>
        <w:spacing w:before="1" w:line="367" w:lineRule="auto"/>
        <w:ind w:left="423" w:right="731"/>
        <w:jc w:val="both"/>
      </w:pPr>
      <w:r>
        <w:t>An example of metal-metal (or inter valence) charge transfer is the Ru-complex given below: (Fig. 2.2)</w:t>
      </w:r>
    </w:p>
    <w:p w:rsidR="00D2338F" w:rsidRDefault="000C6B92">
      <w:pPr>
        <w:pStyle w:val="BodyText"/>
        <w:spacing w:before="9"/>
        <w:rPr>
          <w:sz w:val="16"/>
        </w:rPr>
      </w:pPr>
      <w:r>
        <w:rPr>
          <w:noProof/>
          <w:lang w:bidi="ar-SA"/>
        </w:rPr>
        <w:drawing>
          <wp:anchor distT="0" distB="0" distL="0" distR="0" simplePos="0" relativeHeight="17" behindDoc="0" locked="0" layoutInCell="1" allowOverlap="1">
            <wp:simplePos x="0" y="0"/>
            <wp:positionH relativeFrom="page">
              <wp:posOffset>1737360</wp:posOffset>
            </wp:positionH>
            <wp:positionV relativeFrom="paragraph">
              <wp:posOffset>147759</wp:posOffset>
            </wp:positionV>
            <wp:extent cx="4235985" cy="18896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235985" cy="1889664"/>
                    </a:xfrm>
                    <a:prstGeom prst="rect">
                      <a:avLst/>
                    </a:prstGeom>
                  </pic:spPr>
                </pic:pic>
              </a:graphicData>
            </a:graphic>
          </wp:anchor>
        </w:drawing>
      </w:r>
    </w:p>
    <w:p w:rsidR="00D2338F" w:rsidRDefault="00D2338F">
      <w:pPr>
        <w:pStyle w:val="BodyText"/>
        <w:spacing w:before="8"/>
        <w:rPr>
          <w:sz w:val="25"/>
        </w:rPr>
      </w:pPr>
    </w:p>
    <w:p w:rsidR="00D2338F" w:rsidRDefault="000C6B92">
      <w:pPr>
        <w:pStyle w:val="BodyText"/>
        <w:spacing w:line="369" w:lineRule="auto"/>
        <w:ind w:left="423" w:right="725"/>
        <w:jc w:val="both"/>
      </w:pPr>
      <w:r>
        <w:t>or [(NH</w:t>
      </w:r>
      <w:r>
        <w:rPr>
          <w:vertAlign w:val="subscript"/>
        </w:rPr>
        <w:t>3</w:t>
      </w:r>
      <w:r>
        <w:t>)</w:t>
      </w:r>
      <w:r>
        <w:rPr>
          <w:vertAlign w:val="subscript"/>
        </w:rPr>
        <w:t>5</w:t>
      </w:r>
      <w:r>
        <w:t>Ru</w:t>
      </w:r>
      <w:r>
        <w:rPr>
          <w:vertAlign w:val="superscript"/>
        </w:rPr>
        <w:t>II</w:t>
      </w:r>
      <w:r>
        <w:t xml:space="preserve"> – Pyz – Ru</w:t>
      </w:r>
      <w:r>
        <w:rPr>
          <w:vertAlign w:val="superscript"/>
        </w:rPr>
        <w:t>III</w:t>
      </w:r>
      <w:r>
        <w:t>(NH</w:t>
      </w:r>
      <w:r>
        <w:rPr>
          <w:vertAlign w:val="subscript"/>
        </w:rPr>
        <w:t>3</w:t>
      </w:r>
      <w:r>
        <w:t>)</w:t>
      </w:r>
      <w:r>
        <w:rPr>
          <w:vertAlign w:val="subscript"/>
        </w:rPr>
        <w:t>5</w:t>
      </w:r>
      <w:r>
        <w:t>]</w:t>
      </w:r>
      <w:r>
        <w:rPr>
          <w:vertAlign w:val="superscript"/>
        </w:rPr>
        <w:t>5+</w:t>
      </w:r>
      <w:r>
        <w:t xml:space="preserve"> where bridging ligand is pyrazine group. In this complex electronic transition occurs from Ru(II) to Ru(III) through Pyz-bridging  ligand and gives intense colour. The compounds with M-M bonds also give intense colour, e.g., [Mo</w:t>
      </w:r>
      <w:r>
        <w:rPr>
          <w:vertAlign w:val="subscript"/>
        </w:rPr>
        <w:t>2</w:t>
      </w:r>
      <w:r>
        <w:t>Cl</w:t>
      </w:r>
      <w:r>
        <w:rPr>
          <w:vertAlign w:val="subscript"/>
        </w:rPr>
        <w:t>8</w:t>
      </w:r>
      <w:r>
        <w:t>]</w:t>
      </w:r>
      <w:r>
        <w:rPr>
          <w:vertAlign w:val="superscript"/>
        </w:rPr>
        <w:t>4-</w:t>
      </w:r>
      <w:r>
        <w:t xml:space="preserve"> is red in colour. Also, the  metal carbonyls with M-M bonds   are often intensely coloured (e.g., polynuclear</w:t>
      </w:r>
      <w:r>
        <w:rPr>
          <w:spacing w:val="18"/>
        </w:rPr>
        <w:t xml:space="preserve"> </w:t>
      </w:r>
      <w:r>
        <w:t>carbonyls).</w:t>
      </w:r>
    </w:p>
    <w:p w:rsidR="00D2338F" w:rsidRDefault="00D2338F">
      <w:pPr>
        <w:pStyle w:val="BodyText"/>
        <w:spacing w:before="11"/>
        <w:rPr>
          <w:sz w:val="19"/>
        </w:rPr>
      </w:pPr>
    </w:p>
    <w:sectPr w:rsidR="00D2338F" w:rsidSect="00D2338F">
      <w:pgSz w:w="12240" w:h="15840"/>
      <w:pgMar w:top="960" w:right="1600" w:bottom="1320" w:left="1720" w:header="686" w:footer="11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F44" w:rsidRDefault="00B55F44" w:rsidP="00D2338F">
      <w:r>
        <w:separator/>
      </w:r>
    </w:p>
  </w:endnote>
  <w:endnote w:type="continuationSeparator" w:id="1">
    <w:p w:rsidR="00B55F44" w:rsidRDefault="00B55F44" w:rsidP="00D2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F44" w:rsidRDefault="00B55F44" w:rsidP="00D2338F">
      <w:r>
        <w:separator/>
      </w:r>
    </w:p>
  </w:footnote>
  <w:footnote w:type="continuationSeparator" w:id="1">
    <w:p w:rsidR="00B55F44" w:rsidRDefault="00B55F44" w:rsidP="00D2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FA6"/>
    <w:multiLevelType w:val="hybridMultilevel"/>
    <w:tmpl w:val="999C6592"/>
    <w:lvl w:ilvl="0" w:tplc="09CE9AF0">
      <w:start w:val="1"/>
      <w:numFmt w:val="decimal"/>
      <w:lvlText w:val="%1."/>
      <w:lvlJc w:val="left"/>
      <w:pPr>
        <w:ind w:left="1100" w:hanging="339"/>
        <w:jc w:val="left"/>
      </w:pPr>
      <w:rPr>
        <w:rFonts w:ascii="Times New Roman" w:eastAsia="Times New Roman" w:hAnsi="Times New Roman" w:cs="Times New Roman" w:hint="default"/>
        <w:w w:val="102"/>
        <w:sz w:val="22"/>
        <w:szCs w:val="22"/>
        <w:lang w:val="en-US" w:eastAsia="en-US" w:bidi="en-US"/>
      </w:rPr>
    </w:lvl>
    <w:lvl w:ilvl="1" w:tplc="6518D700">
      <w:numFmt w:val="bullet"/>
      <w:lvlText w:val="•"/>
      <w:lvlJc w:val="left"/>
      <w:pPr>
        <w:ind w:left="1882" w:hanging="339"/>
      </w:pPr>
      <w:rPr>
        <w:rFonts w:hint="default"/>
        <w:lang w:val="en-US" w:eastAsia="en-US" w:bidi="en-US"/>
      </w:rPr>
    </w:lvl>
    <w:lvl w:ilvl="2" w:tplc="BB3C6D34">
      <w:numFmt w:val="bullet"/>
      <w:lvlText w:val="•"/>
      <w:lvlJc w:val="left"/>
      <w:pPr>
        <w:ind w:left="2664" w:hanging="339"/>
      </w:pPr>
      <w:rPr>
        <w:rFonts w:hint="default"/>
        <w:lang w:val="en-US" w:eastAsia="en-US" w:bidi="en-US"/>
      </w:rPr>
    </w:lvl>
    <w:lvl w:ilvl="3" w:tplc="C3D0AA3E">
      <w:numFmt w:val="bullet"/>
      <w:lvlText w:val="•"/>
      <w:lvlJc w:val="left"/>
      <w:pPr>
        <w:ind w:left="3446" w:hanging="339"/>
      </w:pPr>
      <w:rPr>
        <w:rFonts w:hint="default"/>
        <w:lang w:val="en-US" w:eastAsia="en-US" w:bidi="en-US"/>
      </w:rPr>
    </w:lvl>
    <w:lvl w:ilvl="4" w:tplc="9D22CEE2">
      <w:numFmt w:val="bullet"/>
      <w:lvlText w:val="•"/>
      <w:lvlJc w:val="left"/>
      <w:pPr>
        <w:ind w:left="4228" w:hanging="339"/>
      </w:pPr>
      <w:rPr>
        <w:rFonts w:hint="default"/>
        <w:lang w:val="en-US" w:eastAsia="en-US" w:bidi="en-US"/>
      </w:rPr>
    </w:lvl>
    <w:lvl w:ilvl="5" w:tplc="554007AC">
      <w:numFmt w:val="bullet"/>
      <w:lvlText w:val="•"/>
      <w:lvlJc w:val="left"/>
      <w:pPr>
        <w:ind w:left="5010" w:hanging="339"/>
      </w:pPr>
      <w:rPr>
        <w:rFonts w:hint="default"/>
        <w:lang w:val="en-US" w:eastAsia="en-US" w:bidi="en-US"/>
      </w:rPr>
    </w:lvl>
    <w:lvl w:ilvl="6" w:tplc="CBE84148">
      <w:numFmt w:val="bullet"/>
      <w:lvlText w:val="•"/>
      <w:lvlJc w:val="left"/>
      <w:pPr>
        <w:ind w:left="5792" w:hanging="339"/>
      </w:pPr>
      <w:rPr>
        <w:rFonts w:hint="default"/>
        <w:lang w:val="en-US" w:eastAsia="en-US" w:bidi="en-US"/>
      </w:rPr>
    </w:lvl>
    <w:lvl w:ilvl="7" w:tplc="B83C5DC8">
      <w:numFmt w:val="bullet"/>
      <w:lvlText w:val="•"/>
      <w:lvlJc w:val="left"/>
      <w:pPr>
        <w:ind w:left="6574" w:hanging="339"/>
      </w:pPr>
      <w:rPr>
        <w:rFonts w:hint="default"/>
        <w:lang w:val="en-US" w:eastAsia="en-US" w:bidi="en-US"/>
      </w:rPr>
    </w:lvl>
    <w:lvl w:ilvl="8" w:tplc="5A4204DC">
      <w:numFmt w:val="bullet"/>
      <w:lvlText w:val="•"/>
      <w:lvlJc w:val="left"/>
      <w:pPr>
        <w:ind w:left="7356" w:hanging="339"/>
      </w:pPr>
      <w:rPr>
        <w:rFonts w:hint="default"/>
        <w:lang w:val="en-US" w:eastAsia="en-US" w:bidi="en-US"/>
      </w:rPr>
    </w:lvl>
  </w:abstractNum>
  <w:abstractNum w:abstractNumId="1">
    <w:nsid w:val="1DD82AFF"/>
    <w:multiLevelType w:val="hybridMultilevel"/>
    <w:tmpl w:val="19C2A0B0"/>
    <w:lvl w:ilvl="0" w:tplc="0EBC90C6">
      <w:start w:val="3"/>
      <w:numFmt w:val="decimal"/>
      <w:lvlText w:val="%1."/>
      <w:lvlJc w:val="left"/>
      <w:pPr>
        <w:ind w:left="651" w:hanging="228"/>
        <w:jc w:val="left"/>
      </w:pPr>
      <w:rPr>
        <w:rFonts w:ascii="Times New Roman" w:eastAsia="Times New Roman" w:hAnsi="Times New Roman" w:cs="Times New Roman" w:hint="default"/>
        <w:w w:val="102"/>
        <w:sz w:val="22"/>
        <w:szCs w:val="22"/>
        <w:lang w:val="en-US" w:eastAsia="en-US" w:bidi="en-US"/>
      </w:rPr>
    </w:lvl>
    <w:lvl w:ilvl="1" w:tplc="A264446C">
      <w:numFmt w:val="bullet"/>
      <w:lvlText w:val="•"/>
      <w:lvlJc w:val="left"/>
      <w:pPr>
        <w:ind w:left="1486" w:hanging="228"/>
      </w:pPr>
      <w:rPr>
        <w:rFonts w:hint="default"/>
        <w:lang w:val="en-US" w:eastAsia="en-US" w:bidi="en-US"/>
      </w:rPr>
    </w:lvl>
    <w:lvl w:ilvl="2" w:tplc="3CE6CE60">
      <w:numFmt w:val="bullet"/>
      <w:lvlText w:val="•"/>
      <w:lvlJc w:val="left"/>
      <w:pPr>
        <w:ind w:left="2312" w:hanging="228"/>
      </w:pPr>
      <w:rPr>
        <w:rFonts w:hint="default"/>
        <w:lang w:val="en-US" w:eastAsia="en-US" w:bidi="en-US"/>
      </w:rPr>
    </w:lvl>
    <w:lvl w:ilvl="3" w:tplc="C3761D54">
      <w:numFmt w:val="bullet"/>
      <w:lvlText w:val="•"/>
      <w:lvlJc w:val="left"/>
      <w:pPr>
        <w:ind w:left="3138" w:hanging="228"/>
      </w:pPr>
      <w:rPr>
        <w:rFonts w:hint="default"/>
        <w:lang w:val="en-US" w:eastAsia="en-US" w:bidi="en-US"/>
      </w:rPr>
    </w:lvl>
    <w:lvl w:ilvl="4" w:tplc="731A1044">
      <w:numFmt w:val="bullet"/>
      <w:lvlText w:val="•"/>
      <w:lvlJc w:val="left"/>
      <w:pPr>
        <w:ind w:left="3964" w:hanging="228"/>
      </w:pPr>
      <w:rPr>
        <w:rFonts w:hint="default"/>
        <w:lang w:val="en-US" w:eastAsia="en-US" w:bidi="en-US"/>
      </w:rPr>
    </w:lvl>
    <w:lvl w:ilvl="5" w:tplc="4E0EBD5E">
      <w:numFmt w:val="bullet"/>
      <w:lvlText w:val="•"/>
      <w:lvlJc w:val="left"/>
      <w:pPr>
        <w:ind w:left="4790" w:hanging="228"/>
      </w:pPr>
      <w:rPr>
        <w:rFonts w:hint="default"/>
        <w:lang w:val="en-US" w:eastAsia="en-US" w:bidi="en-US"/>
      </w:rPr>
    </w:lvl>
    <w:lvl w:ilvl="6" w:tplc="38E6366A">
      <w:numFmt w:val="bullet"/>
      <w:lvlText w:val="•"/>
      <w:lvlJc w:val="left"/>
      <w:pPr>
        <w:ind w:left="5616" w:hanging="228"/>
      </w:pPr>
      <w:rPr>
        <w:rFonts w:hint="default"/>
        <w:lang w:val="en-US" w:eastAsia="en-US" w:bidi="en-US"/>
      </w:rPr>
    </w:lvl>
    <w:lvl w:ilvl="7" w:tplc="C9987550">
      <w:numFmt w:val="bullet"/>
      <w:lvlText w:val="•"/>
      <w:lvlJc w:val="left"/>
      <w:pPr>
        <w:ind w:left="6442" w:hanging="228"/>
      </w:pPr>
      <w:rPr>
        <w:rFonts w:hint="default"/>
        <w:lang w:val="en-US" w:eastAsia="en-US" w:bidi="en-US"/>
      </w:rPr>
    </w:lvl>
    <w:lvl w:ilvl="8" w:tplc="EC588F4E">
      <w:numFmt w:val="bullet"/>
      <w:lvlText w:val="•"/>
      <w:lvlJc w:val="left"/>
      <w:pPr>
        <w:ind w:left="7268" w:hanging="228"/>
      </w:pPr>
      <w:rPr>
        <w:rFonts w:hint="default"/>
        <w:lang w:val="en-US" w:eastAsia="en-US" w:bidi="en-US"/>
      </w:rPr>
    </w:lvl>
  </w:abstractNum>
  <w:abstractNum w:abstractNumId="2">
    <w:nsid w:val="34572CAC"/>
    <w:multiLevelType w:val="hybridMultilevel"/>
    <w:tmpl w:val="01FA10E6"/>
    <w:lvl w:ilvl="0" w:tplc="B3266950">
      <w:start w:val="1"/>
      <w:numFmt w:val="lowerLetter"/>
      <w:lvlText w:val="(%1)"/>
      <w:lvlJc w:val="left"/>
      <w:pPr>
        <w:ind w:left="761" w:hanging="339"/>
        <w:jc w:val="left"/>
      </w:pPr>
      <w:rPr>
        <w:rFonts w:ascii="Times New Roman" w:eastAsia="Times New Roman" w:hAnsi="Times New Roman" w:cs="Times New Roman" w:hint="default"/>
        <w:b/>
        <w:bCs/>
        <w:spacing w:val="-1"/>
        <w:w w:val="102"/>
        <w:sz w:val="22"/>
        <w:szCs w:val="22"/>
        <w:lang w:val="en-US" w:eastAsia="en-US" w:bidi="en-US"/>
      </w:rPr>
    </w:lvl>
    <w:lvl w:ilvl="1" w:tplc="AF8E7590">
      <w:numFmt w:val="bullet"/>
      <w:lvlText w:val="•"/>
      <w:lvlJc w:val="left"/>
      <w:pPr>
        <w:ind w:left="1576" w:hanging="339"/>
      </w:pPr>
      <w:rPr>
        <w:rFonts w:hint="default"/>
        <w:lang w:val="en-US" w:eastAsia="en-US" w:bidi="en-US"/>
      </w:rPr>
    </w:lvl>
    <w:lvl w:ilvl="2" w:tplc="83CC9C0A">
      <w:numFmt w:val="bullet"/>
      <w:lvlText w:val="•"/>
      <w:lvlJc w:val="left"/>
      <w:pPr>
        <w:ind w:left="2392" w:hanging="339"/>
      </w:pPr>
      <w:rPr>
        <w:rFonts w:hint="default"/>
        <w:lang w:val="en-US" w:eastAsia="en-US" w:bidi="en-US"/>
      </w:rPr>
    </w:lvl>
    <w:lvl w:ilvl="3" w:tplc="A3CE878A">
      <w:numFmt w:val="bullet"/>
      <w:lvlText w:val="•"/>
      <w:lvlJc w:val="left"/>
      <w:pPr>
        <w:ind w:left="3208" w:hanging="339"/>
      </w:pPr>
      <w:rPr>
        <w:rFonts w:hint="default"/>
        <w:lang w:val="en-US" w:eastAsia="en-US" w:bidi="en-US"/>
      </w:rPr>
    </w:lvl>
    <w:lvl w:ilvl="4" w:tplc="5AFE2424">
      <w:numFmt w:val="bullet"/>
      <w:lvlText w:val="•"/>
      <w:lvlJc w:val="left"/>
      <w:pPr>
        <w:ind w:left="4024" w:hanging="339"/>
      </w:pPr>
      <w:rPr>
        <w:rFonts w:hint="default"/>
        <w:lang w:val="en-US" w:eastAsia="en-US" w:bidi="en-US"/>
      </w:rPr>
    </w:lvl>
    <w:lvl w:ilvl="5" w:tplc="DD326124">
      <w:numFmt w:val="bullet"/>
      <w:lvlText w:val="•"/>
      <w:lvlJc w:val="left"/>
      <w:pPr>
        <w:ind w:left="4840" w:hanging="339"/>
      </w:pPr>
      <w:rPr>
        <w:rFonts w:hint="default"/>
        <w:lang w:val="en-US" w:eastAsia="en-US" w:bidi="en-US"/>
      </w:rPr>
    </w:lvl>
    <w:lvl w:ilvl="6" w:tplc="0868F93C">
      <w:numFmt w:val="bullet"/>
      <w:lvlText w:val="•"/>
      <w:lvlJc w:val="left"/>
      <w:pPr>
        <w:ind w:left="5656" w:hanging="339"/>
      </w:pPr>
      <w:rPr>
        <w:rFonts w:hint="default"/>
        <w:lang w:val="en-US" w:eastAsia="en-US" w:bidi="en-US"/>
      </w:rPr>
    </w:lvl>
    <w:lvl w:ilvl="7" w:tplc="1AB63C40">
      <w:numFmt w:val="bullet"/>
      <w:lvlText w:val="•"/>
      <w:lvlJc w:val="left"/>
      <w:pPr>
        <w:ind w:left="6472" w:hanging="339"/>
      </w:pPr>
      <w:rPr>
        <w:rFonts w:hint="default"/>
        <w:lang w:val="en-US" w:eastAsia="en-US" w:bidi="en-US"/>
      </w:rPr>
    </w:lvl>
    <w:lvl w:ilvl="8" w:tplc="B0FAF08C">
      <w:numFmt w:val="bullet"/>
      <w:lvlText w:val="•"/>
      <w:lvlJc w:val="left"/>
      <w:pPr>
        <w:ind w:left="7288" w:hanging="339"/>
      </w:pPr>
      <w:rPr>
        <w:rFonts w:hint="default"/>
        <w:lang w:val="en-US" w:eastAsia="en-US" w:bidi="en-US"/>
      </w:rPr>
    </w:lvl>
  </w:abstractNum>
  <w:abstractNum w:abstractNumId="3">
    <w:nsid w:val="4D045558"/>
    <w:multiLevelType w:val="hybridMultilevel"/>
    <w:tmpl w:val="AAEA51C8"/>
    <w:lvl w:ilvl="0" w:tplc="B81EE48E">
      <w:start w:val="1"/>
      <w:numFmt w:val="lowerLetter"/>
      <w:lvlText w:val="(%1)"/>
      <w:lvlJc w:val="left"/>
      <w:pPr>
        <w:ind w:left="742" w:hanging="320"/>
        <w:jc w:val="left"/>
      </w:pPr>
      <w:rPr>
        <w:rFonts w:ascii="Times New Roman" w:eastAsia="Times New Roman" w:hAnsi="Times New Roman" w:cs="Times New Roman" w:hint="default"/>
        <w:b/>
        <w:bCs/>
        <w:spacing w:val="-1"/>
        <w:w w:val="102"/>
        <w:sz w:val="22"/>
        <w:szCs w:val="22"/>
        <w:lang w:val="en-US" w:eastAsia="en-US" w:bidi="en-US"/>
      </w:rPr>
    </w:lvl>
    <w:lvl w:ilvl="1" w:tplc="DA406D88">
      <w:numFmt w:val="bullet"/>
      <w:lvlText w:val="•"/>
      <w:lvlJc w:val="left"/>
      <w:pPr>
        <w:ind w:left="1558" w:hanging="320"/>
      </w:pPr>
      <w:rPr>
        <w:rFonts w:hint="default"/>
        <w:lang w:val="en-US" w:eastAsia="en-US" w:bidi="en-US"/>
      </w:rPr>
    </w:lvl>
    <w:lvl w:ilvl="2" w:tplc="7C2E6F9A">
      <w:numFmt w:val="bullet"/>
      <w:lvlText w:val="•"/>
      <w:lvlJc w:val="left"/>
      <w:pPr>
        <w:ind w:left="2376" w:hanging="320"/>
      </w:pPr>
      <w:rPr>
        <w:rFonts w:hint="default"/>
        <w:lang w:val="en-US" w:eastAsia="en-US" w:bidi="en-US"/>
      </w:rPr>
    </w:lvl>
    <w:lvl w:ilvl="3" w:tplc="FBC424DE">
      <w:numFmt w:val="bullet"/>
      <w:lvlText w:val="•"/>
      <w:lvlJc w:val="left"/>
      <w:pPr>
        <w:ind w:left="3194" w:hanging="320"/>
      </w:pPr>
      <w:rPr>
        <w:rFonts w:hint="default"/>
        <w:lang w:val="en-US" w:eastAsia="en-US" w:bidi="en-US"/>
      </w:rPr>
    </w:lvl>
    <w:lvl w:ilvl="4" w:tplc="B310F8C8">
      <w:numFmt w:val="bullet"/>
      <w:lvlText w:val="•"/>
      <w:lvlJc w:val="left"/>
      <w:pPr>
        <w:ind w:left="4012" w:hanging="320"/>
      </w:pPr>
      <w:rPr>
        <w:rFonts w:hint="default"/>
        <w:lang w:val="en-US" w:eastAsia="en-US" w:bidi="en-US"/>
      </w:rPr>
    </w:lvl>
    <w:lvl w:ilvl="5" w:tplc="CD62C208">
      <w:numFmt w:val="bullet"/>
      <w:lvlText w:val="•"/>
      <w:lvlJc w:val="left"/>
      <w:pPr>
        <w:ind w:left="4830" w:hanging="320"/>
      </w:pPr>
      <w:rPr>
        <w:rFonts w:hint="default"/>
        <w:lang w:val="en-US" w:eastAsia="en-US" w:bidi="en-US"/>
      </w:rPr>
    </w:lvl>
    <w:lvl w:ilvl="6" w:tplc="4500889C">
      <w:numFmt w:val="bullet"/>
      <w:lvlText w:val="•"/>
      <w:lvlJc w:val="left"/>
      <w:pPr>
        <w:ind w:left="5648" w:hanging="320"/>
      </w:pPr>
      <w:rPr>
        <w:rFonts w:hint="default"/>
        <w:lang w:val="en-US" w:eastAsia="en-US" w:bidi="en-US"/>
      </w:rPr>
    </w:lvl>
    <w:lvl w:ilvl="7" w:tplc="66B6EE3E">
      <w:numFmt w:val="bullet"/>
      <w:lvlText w:val="•"/>
      <w:lvlJc w:val="left"/>
      <w:pPr>
        <w:ind w:left="6466" w:hanging="320"/>
      </w:pPr>
      <w:rPr>
        <w:rFonts w:hint="default"/>
        <w:lang w:val="en-US" w:eastAsia="en-US" w:bidi="en-US"/>
      </w:rPr>
    </w:lvl>
    <w:lvl w:ilvl="8" w:tplc="843EAEDA">
      <w:numFmt w:val="bullet"/>
      <w:lvlText w:val="•"/>
      <w:lvlJc w:val="left"/>
      <w:pPr>
        <w:ind w:left="7284" w:hanging="320"/>
      </w:pPr>
      <w:rPr>
        <w:rFonts w:hint="default"/>
        <w:lang w:val="en-US" w:eastAsia="en-US" w:bidi="en-US"/>
      </w:rPr>
    </w:lvl>
  </w:abstractNum>
  <w:abstractNum w:abstractNumId="4">
    <w:nsid w:val="554A3E86"/>
    <w:multiLevelType w:val="hybridMultilevel"/>
    <w:tmpl w:val="968E635E"/>
    <w:lvl w:ilvl="0" w:tplc="8B62BF52">
      <w:start w:val="1"/>
      <w:numFmt w:val="lowerLetter"/>
      <w:lvlText w:val="(%1)"/>
      <w:lvlJc w:val="left"/>
      <w:pPr>
        <w:ind w:left="1438" w:hanging="677"/>
        <w:jc w:val="left"/>
      </w:pPr>
      <w:rPr>
        <w:rFonts w:ascii="Times New Roman" w:eastAsia="Times New Roman" w:hAnsi="Times New Roman" w:cs="Times New Roman" w:hint="default"/>
        <w:spacing w:val="-1"/>
        <w:w w:val="102"/>
        <w:sz w:val="22"/>
        <w:szCs w:val="22"/>
        <w:lang w:val="en-US" w:eastAsia="en-US" w:bidi="en-US"/>
      </w:rPr>
    </w:lvl>
    <w:lvl w:ilvl="1" w:tplc="52DC3D04">
      <w:numFmt w:val="bullet"/>
      <w:lvlText w:val="•"/>
      <w:lvlJc w:val="left"/>
      <w:pPr>
        <w:ind w:left="2188" w:hanging="677"/>
      </w:pPr>
      <w:rPr>
        <w:rFonts w:hint="default"/>
        <w:lang w:val="en-US" w:eastAsia="en-US" w:bidi="en-US"/>
      </w:rPr>
    </w:lvl>
    <w:lvl w:ilvl="2" w:tplc="39746170">
      <w:numFmt w:val="bullet"/>
      <w:lvlText w:val="•"/>
      <w:lvlJc w:val="left"/>
      <w:pPr>
        <w:ind w:left="2936" w:hanging="677"/>
      </w:pPr>
      <w:rPr>
        <w:rFonts w:hint="default"/>
        <w:lang w:val="en-US" w:eastAsia="en-US" w:bidi="en-US"/>
      </w:rPr>
    </w:lvl>
    <w:lvl w:ilvl="3" w:tplc="7A58E89A">
      <w:numFmt w:val="bullet"/>
      <w:lvlText w:val="•"/>
      <w:lvlJc w:val="left"/>
      <w:pPr>
        <w:ind w:left="3684" w:hanging="677"/>
      </w:pPr>
      <w:rPr>
        <w:rFonts w:hint="default"/>
        <w:lang w:val="en-US" w:eastAsia="en-US" w:bidi="en-US"/>
      </w:rPr>
    </w:lvl>
    <w:lvl w:ilvl="4" w:tplc="16809292">
      <w:numFmt w:val="bullet"/>
      <w:lvlText w:val="•"/>
      <w:lvlJc w:val="left"/>
      <w:pPr>
        <w:ind w:left="4432" w:hanging="677"/>
      </w:pPr>
      <w:rPr>
        <w:rFonts w:hint="default"/>
        <w:lang w:val="en-US" w:eastAsia="en-US" w:bidi="en-US"/>
      </w:rPr>
    </w:lvl>
    <w:lvl w:ilvl="5" w:tplc="6E949422">
      <w:numFmt w:val="bullet"/>
      <w:lvlText w:val="•"/>
      <w:lvlJc w:val="left"/>
      <w:pPr>
        <w:ind w:left="5180" w:hanging="677"/>
      </w:pPr>
      <w:rPr>
        <w:rFonts w:hint="default"/>
        <w:lang w:val="en-US" w:eastAsia="en-US" w:bidi="en-US"/>
      </w:rPr>
    </w:lvl>
    <w:lvl w:ilvl="6" w:tplc="7AE64F74">
      <w:numFmt w:val="bullet"/>
      <w:lvlText w:val="•"/>
      <w:lvlJc w:val="left"/>
      <w:pPr>
        <w:ind w:left="5928" w:hanging="677"/>
      </w:pPr>
      <w:rPr>
        <w:rFonts w:hint="default"/>
        <w:lang w:val="en-US" w:eastAsia="en-US" w:bidi="en-US"/>
      </w:rPr>
    </w:lvl>
    <w:lvl w:ilvl="7" w:tplc="8D52F70A">
      <w:numFmt w:val="bullet"/>
      <w:lvlText w:val="•"/>
      <w:lvlJc w:val="left"/>
      <w:pPr>
        <w:ind w:left="6676" w:hanging="677"/>
      </w:pPr>
      <w:rPr>
        <w:rFonts w:hint="default"/>
        <w:lang w:val="en-US" w:eastAsia="en-US" w:bidi="en-US"/>
      </w:rPr>
    </w:lvl>
    <w:lvl w:ilvl="8" w:tplc="D9EE3842">
      <w:numFmt w:val="bullet"/>
      <w:lvlText w:val="•"/>
      <w:lvlJc w:val="left"/>
      <w:pPr>
        <w:ind w:left="7424" w:hanging="677"/>
      </w:pPr>
      <w:rPr>
        <w:rFonts w:hint="default"/>
        <w:lang w:val="en-US" w:eastAsia="en-US" w:bidi="en-US"/>
      </w:rPr>
    </w:lvl>
  </w:abstractNum>
  <w:abstractNum w:abstractNumId="5">
    <w:nsid w:val="5E6229F3"/>
    <w:multiLevelType w:val="hybridMultilevel"/>
    <w:tmpl w:val="0A76ADA6"/>
    <w:lvl w:ilvl="0" w:tplc="4002EADA">
      <w:start w:val="2"/>
      <w:numFmt w:val="decimal"/>
      <w:lvlText w:val="%1"/>
      <w:lvlJc w:val="left"/>
      <w:pPr>
        <w:ind w:left="874" w:hanging="452"/>
        <w:jc w:val="left"/>
      </w:pPr>
      <w:rPr>
        <w:rFonts w:hint="default"/>
        <w:lang w:val="en-US" w:eastAsia="en-US" w:bidi="en-US"/>
      </w:rPr>
    </w:lvl>
    <w:lvl w:ilvl="1" w:tplc="72A818FE">
      <w:numFmt w:val="none"/>
      <w:lvlText w:val=""/>
      <w:lvlJc w:val="left"/>
      <w:pPr>
        <w:tabs>
          <w:tab w:val="num" w:pos="360"/>
        </w:tabs>
      </w:pPr>
    </w:lvl>
    <w:lvl w:ilvl="2" w:tplc="42D8E768">
      <w:numFmt w:val="none"/>
      <w:lvlText w:val=""/>
      <w:lvlJc w:val="left"/>
      <w:pPr>
        <w:tabs>
          <w:tab w:val="num" w:pos="360"/>
        </w:tabs>
      </w:pPr>
    </w:lvl>
    <w:lvl w:ilvl="3" w:tplc="0C8824DE">
      <w:start w:val="1"/>
      <w:numFmt w:val="lowerLetter"/>
      <w:lvlText w:val="(%4)"/>
      <w:lvlJc w:val="left"/>
      <w:pPr>
        <w:ind w:left="1100" w:hanging="339"/>
        <w:jc w:val="left"/>
      </w:pPr>
      <w:rPr>
        <w:rFonts w:ascii="Times New Roman" w:eastAsia="Times New Roman" w:hAnsi="Times New Roman" w:cs="Times New Roman" w:hint="default"/>
        <w:spacing w:val="-1"/>
        <w:w w:val="102"/>
        <w:sz w:val="22"/>
        <w:szCs w:val="22"/>
        <w:lang w:val="en-US" w:eastAsia="en-US" w:bidi="en-US"/>
      </w:rPr>
    </w:lvl>
    <w:lvl w:ilvl="4" w:tplc="A50EA1D0">
      <w:numFmt w:val="bullet"/>
      <w:lvlText w:val="•"/>
      <w:lvlJc w:val="left"/>
      <w:pPr>
        <w:ind w:left="3055" w:hanging="339"/>
      </w:pPr>
      <w:rPr>
        <w:rFonts w:hint="default"/>
        <w:lang w:val="en-US" w:eastAsia="en-US" w:bidi="en-US"/>
      </w:rPr>
    </w:lvl>
    <w:lvl w:ilvl="5" w:tplc="445036DA">
      <w:numFmt w:val="bullet"/>
      <w:lvlText w:val="•"/>
      <w:lvlJc w:val="left"/>
      <w:pPr>
        <w:ind w:left="4032" w:hanging="339"/>
      </w:pPr>
      <w:rPr>
        <w:rFonts w:hint="default"/>
        <w:lang w:val="en-US" w:eastAsia="en-US" w:bidi="en-US"/>
      </w:rPr>
    </w:lvl>
    <w:lvl w:ilvl="6" w:tplc="94040634">
      <w:numFmt w:val="bullet"/>
      <w:lvlText w:val="•"/>
      <w:lvlJc w:val="left"/>
      <w:pPr>
        <w:ind w:left="5010" w:hanging="339"/>
      </w:pPr>
      <w:rPr>
        <w:rFonts w:hint="default"/>
        <w:lang w:val="en-US" w:eastAsia="en-US" w:bidi="en-US"/>
      </w:rPr>
    </w:lvl>
    <w:lvl w:ilvl="7" w:tplc="6DD604BC">
      <w:numFmt w:val="bullet"/>
      <w:lvlText w:val="•"/>
      <w:lvlJc w:val="left"/>
      <w:pPr>
        <w:ind w:left="5987" w:hanging="339"/>
      </w:pPr>
      <w:rPr>
        <w:rFonts w:hint="default"/>
        <w:lang w:val="en-US" w:eastAsia="en-US" w:bidi="en-US"/>
      </w:rPr>
    </w:lvl>
    <w:lvl w:ilvl="8" w:tplc="11CAB38A">
      <w:numFmt w:val="bullet"/>
      <w:lvlText w:val="•"/>
      <w:lvlJc w:val="left"/>
      <w:pPr>
        <w:ind w:left="6965" w:hanging="339"/>
      </w:pPr>
      <w:rPr>
        <w:rFonts w:hint="default"/>
        <w:lang w:val="en-US" w:eastAsia="en-US" w:bidi="en-US"/>
      </w:rPr>
    </w:lvl>
  </w:abstractNum>
  <w:abstractNum w:abstractNumId="6">
    <w:nsid w:val="772F0D13"/>
    <w:multiLevelType w:val="hybridMultilevel"/>
    <w:tmpl w:val="65CEEF20"/>
    <w:lvl w:ilvl="0" w:tplc="5FACE288">
      <w:start w:val="2"/>
      <w:numFmt w:val="decimal"/>
      <w:lvlText w:val="%1"/>
      <w:lvlJc w:val="left"/>
      <w:pPr>
        <w:ind w:left="761" w:hanging="339"/>
        <w:jc w:val="left"/>
      </w:pPr>
      <w:rPr>
        <w:rFonts w:hint="default"/>
        <w:lang w:val="en-US" w:eastAsia="en-US" w:bidi="en-US"/>
      </w:rPr>
    </w:lvl>
    <w:lvl w:ilvl="1" w:tplc="1F9E4596">
      <w:numFmt w:val="none"/>
      <w:lvlText w:val=""/>
      <w:lvlJc w:val="left"/>
      <w:pPr>
        <w:tabs>
          <w:tab w:val="num" w:pos="360"/>
        </w:tabs>
      </w:pPr>
    </w:lvl>
    <w:lvl w:ilvl="2" w:tplc="DD4A1C92">
      <w:numFmt w:val="bullet"/>
      <w:lvlText w:val="•"/>
      <w:lvlJc w:val="left"/>
      <w:pPr>
        <w:ind w:left="2392" w:hanging="339"/>
      </w:pPr>
      <w:rPr>
        <w:rFonts w:hint="default"/>
        <w:lang w:val="en-US" w:eastAsia="en-US" w:bidi="en-US"/>
      </w:rPr>
    </w:lvl>
    <w:lvl w:ilvl="3" w:tplc="943676D4">
      <w:numFmt w:val="bullet"/>
      <w:lvlText w:val="•"/>
      <w:lvlJc w:val="left"/>
      <w:pPr>
        <w:ind w:left="3208" w:hanging="339"/>
      </w:pPr>
      <w:rPr>
        <w:rFonts w:hint="default"/>
        <w:lang w:val="en-US" w:eastAsia="en-US" w:bidi="en-US"/>
      </w:rPr>
    </w:lvl>
    <w:lvl w:ilvl="4" w:tplc="4732B370">
      <w:numFmt w:val="bullet"/>
      <w:lvlText w:val="•"/>
      <w:lvlJc w:val="left"/>
      <w:pPr>
        <w:ind w:left="4024" w:hanging="339"/>
      </w:pPr>
      <w:rPr>
        <w:rFonts w:hint="default"/>
        <w:lang w:val="en-US" w:eastAsia="en-US" w:bidi="en-US"/>
      </w:rPr>
    </w:lvl>
    <w:lvl w:ilvl="5" w:tplc="85881BB6">
      <w:numFmt w:val="bullet"/>
      <w:lvlText w:val="•"/>
      <w:lvlJc w:val="left"/>
      <w:pPr>
        <w:ind w:left="4840" w:hanging="339"/>
      </w:pPr>
      <w:rPr>
        <w:rFonts w:hint="default"/>
        <w:lang w:val="en-US" w:eastAsia="en-US" w:bidi="en-US"/>
      </w:rPr>
    </w:lvl>
    <w:lvl w:ilvl="6" w:tplc="94FCEFE6">
      <w:numFmt w:val="bullet"/>
      <w:lvlText w:val="•"/>
      <w:lvlJc w:val="left"/>
      <w:pPr>
        <w:ind w:left="5656" w:hanging="339"/>
      </w:pPr>
      <w:rPr>
        <w:rFonts w:hint="default"/>
        <w:lang w:val="en-US" w:eastAsia="en-US" w:bidi="en-US"/>
      </w:rPr>
    </w:lvl>
    <w:lvl w:ilvl="7" w:tplc="FE0CD3B6">
      <w:numFmt w:val="bullet"/>
      <w:lvlText w:val="•"/>
      <w:lvlJc w:val="left"/>
      <w:pPr>
        <w:ind w:left="6472" w:hanging="339"/>
      </w:pPr>
      <w:rPr>
        <w:rFonts w:hint="default"/>
        <w:lang w:val="en-US" w:eastAsia="en-US" w:bidi="en-US"/>
      </w:rPr>
    </w:lvl>
    <w:lvl w:ilvl="8" w:tplc="706094B0">
      <w:numFmt w:val="bullet"/>
      <w:lvlText w:val="•"/>
      <w:lvlJc w:val="left"/>
      <w:pPr>
        <w:ind w:left="7288" w:hanging="339"/>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ulTrailSpace/>
    <w:shapeLayoutLikeWW8/>
  </w:compat>
  <w:rsids>
    <w:rsidRoot w:val="00D2338F"/>
    <w:rsid w:val="000463FD"/>
    <w:rsid w:val="000C6B92"/>
    <w:rsid w:val="005C1E51"/>
    <w:rsid w:val="00B55F44"/>
    <w:rsid w:val="00D2338F"/>
    <w:rsid w:val="00D254D0"/>
    <w:rsid w:val="00DF735F"/>
    <w:rsid w:val="00E32BB5"/>
    <w:rsid w:val="00EE2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38F"/>
    <w:rPr>
      <w:rFonts w:ascii="Times New Roman" w:eastAsia="Times New Roman" w:hAnsi="Times New Roman" w:cs="Times New Roman"/>
      <w:lang w:bidi="en-US"/>
    </w:rPr>
  </w:style>
  <w:style w:type="paragraph" w:styleId="Heading1">
    <w:name w:val="heading 1"/>
    <w:basedOn w:val="Normal"/>
    <w:uiPriority w:val="1"/>
    <w:qFormat/>
    <w:rsid w:val="00D2338F"/>
    <w:pPr>
      <w:ind w:left="874" w:hanging="452"/>
      <w:outlineLvl w:val="0"/>
    </w:pPr>
    <w:rPr>
      <w:b/>
      <w:bCs/>
      <w:i/>
      <w:sz w:val="30"/>
      <w:szCs w:val="30"/>
    </w:rPr>
  </w:style>
  <w:style w:type="paragraph" w:styleId="Heading2">
    <w:name w:val="heading 2"/>
    <w:basedOn w:val="Normal"/>
    <w:uiPriority w:val="1"/>
    <w:qFormat/>
    <w:rsid w:val="00D2338F"/>
    <w:pPr>
      <w:ind w:left="975" w:hanging="553"/>
      <w:outlineLvl w:val="1"/>
    </w:pPr>
    <w:rPr>
      <w:b/>
      <w:bCs/>
      <w:sz w:val="24"/>
      <w:szCs w:val="24"/>
    </w:rPr>
  </w:style>
  <w:style w:type="paragraph" w:styleId="Heading3">
    <w:name w:val="heading 3"/>
    <w:basedOn w:val="Normal"/>
    <w:uiPriority w:val="1"/>
    <w:qFormat/>
    <w:rsid w:val="00D2338F"/>
    <w:pPr>
      <w:ind w:left="4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38F"/>
  </w:style>
  <w:style w:type="paragraph" w:styleId="ListParagraph">
    <w:name w:val="List Paragraph"/>
    <w:basedOn w:val="Normal"/>
    <w:uiPriority w:val="1"/>
    <w:qFormat/>
    <w:rsid w:val="00D2338F"/>
    <w:pPr>
      <w:ind w:left="761" w:hanging="339"/>
    </w:pPr>
  </w:style>
  <w:style w:type="paragraph" w:customStyle="1" w:styleId="TableParagraph">
    <w:name w:val="Table Paragraph"/>
    <w:basedOn w:val="Normal"/>
    <w:uiPriority w:val="1"/>
    <w:qFormat/>
    <w:rsid w:val="00D2338F"/>
  </w:style>
  <w:style w:type="paragraph" w:styleId="Header">
    <w:name w:val="header"/>
    <w:basedOn w:val="Normal"/>
    <w:link w:val="HeaderChar"/>
    <w:uiPriority w:val="99"/>
    <w:semiHidden/>
    <w:unhideWhenUsed/>
    <w:rsid w:val="005C1E51"/>
    <w:pPr>
      <w:tabs>
        <w:tab w:val="center" w:pos="4680"/>
        <w:tab w:val="right" w:pos="9360"/>
      </w:tabs>
    </w:pPr>
  </w:style>
  <w:style w:type="character" w:customStyle="1" w:styleId="HeaderChar">
    <w:name w:val="Header Char"/>
    <w:basedOn w:val="DefaultParagraphFont"/>
    <w:link w:val="Header"/>
    <w:uiPriority w:val="99"/>
    <w:semiHidden/>
    <w:rsid w:val="005C1E51"/>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5C1E51"/>
    <w:pPr>
      <w:tabs>
        <w:tab w:val="center" w:pos="4680"/>
        <w:tab w:val="right" w:pos="9360"/>
      </w:tabs>
    </w:pPr>
  </w:style>
  <w:style w:type="character" w:customStyle="1" w:styleId="FooterChar">
    <w:name w:val="Footer Char"/>
    <w:basedOn w:val="DefaultParagraphFont"/>
    <w:link w:val="Footer"/>
    <w:uiPriority w:val="99"/>
    <w:semiHidden/>
    <w:rsid w:val="005C1E51"/>
    <w:rPr>
      <w:rFonts w:ascii="Times New Roman" w:eastAsia="Times New Roman" w:hAnsi="Times New Roman" w:cs="Times New Roman"/>
      <w:lang w:bidi="en-US"/>
    </w:rPr>
  </w:style>
  <w:style w:type="paragraph" w:customStyle="1" w:styleId="Default">
    <w:name w:val="Default"/>
    <w:rsid w:val="00D254D0"/>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D254D0"/>
    <w:rPr>
      <w:rFonts w:ascii="Tahoma" w:hAnsi="Tahoma" w:cs="Tahoma"/>
      <w:sz w:val="16"/>
      <w:szCs w:val="16"/>
    </w:rPr>
  </w:style>
  <w:style w:type="character" w:customStyle="1" w:styleId="BalloonTextChar">
    <w:name w:val="Balloon Text Char"/>
    <w:basedOn w:val="DefaultParagraphFont"/>
    <w:link w:val="BalloonText"/>
    <w:uiPriority w:val="99"/>
    <w:semiHidden/>
    <w:rsid w:val="00D254D0"/>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780</Words>
  <Characters>4448</Characters>
  <Application>Microsoft Office Word</Application>
  <DocSecurity>0</DocSecurity>
  <Lines>37</Lines>
  <Paragraphs>10</Paragraphs>
  <ScaleCrop>false</ScaleCrop>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5</cp:revision>
  <dcterms:created xsi:type="dcterms:W3CDTF">2020-09-27T01:44:00Z</dcterms:created>
  <dcterms:modified xsi:type="dcterms:W3CDTF">2020-09-27T03:10:00Z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2020-09-27T00:00:00Z</vt:filetime>
  </property>
</Properties>
</file>